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4" w:rsidRPr="003C5BA4" w:rsidRDefault="003C5BA4" w:rsidP="003C5BA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 w:rsidRPr="003C5BA4">
        <w:rPr>
          <w:rFonts w:cs="AgendaPl Bold"/>
          <w:b/>
          <w:bCs/>
          <w:caps/>
          <w:color w:val="024DA1"/>
          <w:sz w:val="36"/>
          <w:szCs w:val="36"/>
        </w:rPr>
        <w:t>PRZEDMIOTOWY</w:t>
      </w:r>
      <w:r>
        <w:rPr>
          <w:rFonts w:cs="AgendaPl Bold"/>
          <w:b/>
          <w:bCs/>
          <w:caps/>
          <w:color w:val="024DA1"/>
          <w:sz w:val="36"/>
          <w:szCs w:val="36"/>
        </w:rPr>
        <w:t xml:space="preserve"> </w:t>
      </w:r>
      <w:r w:rsidRPr="003C5BA4">
        <w:rPr>
          <w:rFonts w:cs="AgendaPl Bold"/>
          <w:b/>
          <w:bCs/>
          <w:caps/>
          <w:color w:val="024DA1"/>
          <w:sz w:val="36"/>
          <w:szCs w:val="36"/>
        </w:rPr>
        <w:t>SYSTEM</w:t>
      </w:r>
      <w:r>
        <w:rPr>
          <w:rFonts w:cs="AgendaPl Bold"/>
          <w:b/>
          <w:bCs/>
          <w:caps/>
          <w:color w:val="024DA1"/>
          <w:sz w:val="36"/>
          <w:szCs w:val="36"/>
        </w:rPr>
        <w:t xml:space="preserve"> </w:t>
      </w:r>
      <w:r w:rsidRPr="003C5BA4">
        <w:rPr>
          <w:rFonts w:cs="AgendaPl Bold"/>
          <w:b/>
          <w:bCs/>
          <w:caps/>
          <w:color w:val="024DA1"/>
          <w:sz w:val="36"/>
          <w:szCs w:val="36"/>
        </w:rPr>
        <w:t>OCENIANIA</w:t>
      </w:r>
    </w:p>
    <w:p w:rsidR="003C5BA4" w:rsidRPr="003C5BA4" w:rsidRDefault="003C5BA4" w:rsidP="003C5BA4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C5BA4" w:rsidRPr="003C5BA4" w:rsidTr="003C5BA4">
        <w:trPr>
          <w:trHeight w:val="57"/>
          <w:tblHeader/>
        </w:trPr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czytania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zrozumieniem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macyjnym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przedstawiane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br/>
              <w:t>-skutkowych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rozumienia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słuchu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wiadane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 również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 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nowo-skutkowych</w:t>
            </w:r>
            <w:proofErr w:type="spellEnd"/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mówienia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stawowy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sadniczej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zeologię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łącznie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poszerzenie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spontanic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naturalna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ciekawe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tematycznie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nikacji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ogran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intonacyjnie,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dro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pisania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nadto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chaotyczne,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 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powtórzenia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logiczne,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harmonijne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spójne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różniają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rakteryzują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właściwym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kształcające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5BA4" w:rsidRPr="003C5BA4" w:rsidRDefault="003C5BA4" w:rsidP="003C5BA4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before="113" w:after="113" w:line="240" w:lineRule="atLeast"/>
        <w:jc w:val="both"/>
        <w:textAlignment w:val="center"/>
        <w:rPr>
          <w:rFonts w:cs="Dutch801EU"/>
          <w:b/>
          <w:bCs/>
          <w:color w:val="000000"/>
          <w:sz w:val="20"/>
          <w:szCs w:val="20"/>
        </w:rPr>
      </w:pP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before="113" w:after="113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Dutch801EU"/>
          <w:b/>
          <w:bCs/>
          <w:color w:val="000000"/>
          <w:sz w:val="20"/>
          <w:szCs w:val="20"/>
        </w:rPr>
        <w:t>UWAGA!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Kryteria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stosowane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wobec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uczniów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ze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zdiagnozowaną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dysgrafią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bądź</w:t>
      </w:r>
      <w:r>
        <w:rPr>
          <w:rFonts w:cs="Dutch801EU"/>
          <w:b/>
          <w:bCs/>
          <w:color w:val="000000"/>
          <w:sz w:val="20"/>
          <w:szCs w:val="20"/>
        </w:rPr>
        <w:t xml:space="preserve"> </w:t>
      </w:r>
      <w:r w:rsidRPr="003C5BA4">
        <w:rPr>
          <w:rFonts w:cs="Dutch801EU"/>
          <w:b/>
          <w:bCs/>
          <w:color w:val="000000"/>
          <w:sz w:val="20"/>
          <w:szCs w:val="20"/>
        </w:rPr>
        <w:t>dysleksją.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Dutch801HdEU"/>
          <w:color w:val="000000"/>
          <w:sz w:val="20"/>
          <w:szCs w:val="20"/>
        </w:rPr>
        <w:t>Ocenianie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uczniów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zdiagnozowanymi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problemami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dysgraficznymi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lub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dyslektycznymi,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które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według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najnowszych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badań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dotyczą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około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10</w:t>
      </w:r>
      <w:r w:rsidRPr="003C5BA4">
        <w:rPr>
          <w:rFonts w:cs="Times New Roman"/>
          <w:color w:val="000000"/>
          <w:sz w:val="20"/>
          <w:szCs w:val="20"/>
        </w:rPr>
        <w:t> </w:t>
      </w:r>
      <w:r w:rsidRPr="003C5BA4">
        <w:rPr>
          <w:rFonts w:cs="Dutch801HdEU"/>
          <w:color w:val="000000"/>
          <w:sz w:val="20"/>
          <w:szCs w:val="20"/>
        </w:rPr>
        <w:t>–15%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populacji,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wymaga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odrębnego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podejścia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zastosowania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specyficznych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kryteriów.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Dutch801HdEU"/>
          <w:color w:val="000000"/>
          <w:sz w:val="20"/>
          <w:szCs w:val="20"/>
        </w:rPr>
        <w:t>Ogólne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zasady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następujące: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indywidualne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traktowanie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stawianie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mu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wymagań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stosownie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do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możliwości;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razie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potrzeby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ocenianie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podstawie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wypowiedzi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ustnych;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ocenianie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prac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pisemnych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pominięciem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błędów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ortograficznych;</w:t>
      </w:r>
      <w:r>
        <w:rPr>
          <w:rFonts w:cs="Dutch801HdEU"/>
          <w:color w:val="000000"/>
          <w:sz w:val="20"/>
          <w:szCs w:val="20"/>
        </w:rPr>
        <w:t xml:space="preserve"> 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umożliwienie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uczniowi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kilkakrotnego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wysłuchania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nagrania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lub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przeczytania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tekstu;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razie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konieczności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umożliwienie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uczniowi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korzystania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komputera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przy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wykonywaniu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zadań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pisemnych.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before="113" w:after="113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Przedmiotowym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Systemie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Oceniania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oprócz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wymagań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edukacyjnych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oraz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sposobów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sprawdzania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osiągnięć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eduk</w:t>
      </w:r>
      <w:r w:rsidRPr="003C5BA4">
        <w:rPr>
          <w:rFonts w:cs="Dutch801HdEU"/>
          <w:color w:val="000000"/>
          <w:sz w:val="20"/>
          <w:szCs w:val="20"/>
        </w:rPr>
        <w:t>a</w:t>
      </w:r>
      <w:r w:rsidRPr="003C5BA4">
        <w:rPr>
          <w:rFonts w:cs="Dutch801HdEU"/>
          <w:color w:val="000000"/>
          <w:sz w:val="20"/>
          <w:szCs w:val="20"/>
        </w:rPr>
        <w:t>cyjnych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uczniów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powinien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się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też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znaleźć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tryb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uzyskania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wyższej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niż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przewidywana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rocznej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oceny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klasyfikacyjnej.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Dutch801HdEU"/>
          <w:color w:val="000000"/>
          <w:sz w:val="20"/>
          <w:szCs w:val="20"/>
        </w:rPr>
        <w:t>Tryb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uzyskania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wyższej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niż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przewidywana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rocznej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oceny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klasyfikacyjnej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–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propozycja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(ocena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może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być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podwyższona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co</w:t>
      </w:r>
      <w:r w:rsidR="00491D3A">
        <w:rPr>
          <w:rFonts w:cs="Dutch801HdEU"/>
          <w:color w:val="000000"/>
          <w:sz w:val="20"/>
          <w:szCs w:val="20"/>
        </w:rPr>
        <w:t> </w:t>
      </w:r>
      <w:bookmarkStart w:id="0" w:name="_GoBack"/>
      <w:bookmarkEnd w:id="0"/>
      <w:r w:rsidRPr="003C5BA4">
        <w:rPr>
          <w:rFonts w:cs="Dutch801HdEU"/>
          <w:color w:val="000000"/>
          <w:sz w:val="20"/>
          <w:szCs w:val="20"/>
        </w:rPr>
        <w:t>najwyżej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jeden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stopień):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98" w:hanging="198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uczeń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zaliczył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pozytywnym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wynikiem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wszystkie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sprawdziany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pisemne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pierwszym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terminie,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98" w:hanging="198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lastRenderedPageBreak/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frekwencja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zajęciach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danego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przedmiotu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wynosiła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co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najmniej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90%,</w:t>
      </w: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after="0" w:line="240" w:lineRule="atLeast"/>
        <w:ind w:left="198" w:hanging="198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C5BA4">
        <w:rPr>
          <w:rFonts w:cs="Humnst777LtEU"/>
          <w:color w:val="000000"/>
          <w:sz w:val="20"/>
          <w:szCs w:val="20"/>
        </w:rPr>
        <w:t>•</w:t>
      </w:r>
      <w:r w:rsidRPr="003C5BA4">
        <w:rPr>
          <w:rFonts w:cs="Symbol (TT) Regular"/>
          <w:color w:val="000000"/>
          <w:sz w:val="20"/>
          <w:szCs w:val="20"/>
        </w:rPr>
        <w:tab/>
      </w:r>
      <w:r w:rsidRPr="003C5BA4">
        <w:rPr>
          <w:rFonts w:cs="Dutch801HdEU"/>
          <w:color w:val="000000"/>
          <w:sz w:val="20"/>
          <w:szCs w:val="20"/>
        </w:rPr>
        <w:t>uczeń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opuszczał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zajęć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bez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usprawiedliwienia,</w:t>
      </w:r>
    </w:p>
    <w:p w:rsidR="00983221" w:rsidRPr="003C5BA4" w:rsidRDefault="003C5BA4" w:rsidP="003C5BA4">
      <w:r w:rsidRPr="003C5BA4">
        <w:rPr>
          <w:rFonts w:cs="Humnst777LtEU"/>
          <w:color w:val="000000"/>
          <w:sz w:val="20"/>
          <w:szCs w:val="20"/>
        </w:rPr>
        <w:t>•</w:t>
      </w:r>
      <w:r>
        <w:rPr>
          <w:rFonts w:cs="Humnst777Lt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uczeń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zaliczył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wyższą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sprawdzian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wiadomości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umiejętności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zakresu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materiału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realizowanego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danym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roku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C5BA4">
        <w:rPr>
          <w:rFonts w:cs="Dutch801HdEU"/>
          <w:color w:val="000000"/>
          <w:sz w:val="20"/>
          <w:szCs w:val="20"/>
        </w:rPr>
        <w:t>szkolnym.</w:t>
      </w:r>
    </w:p>
    <w:sectPr w:rsidR="00983221" w:rsidRPr="003C5BA4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E2" w:rsidRDefault="000045E2" w:rsidP="00285D6F">
      <w:pPr>
        <w:spacing w:after="0" w:line="240" w:lineRule="auto"/>
      </w:pPr>
      <w:r>
        <w:separator/>
      </w:r>
    </w:p>
  </w:endnote>
  <w:endnote w:type="continuationSeparator" w:id="0">
    <w:p w:rsidR="000045E2" w:rsidRDefault="000045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Humnst777LtEU">
    <w:charset w:val="EE"/>
    <w:family w:val="auto"/>
    <w:pitch w:val="variable"/>
    <w:sig w:usb0="A00000AF" w:usb1="5000004A" w:usb2="00000000" w:usb3="00000000" w:csb0="00000193" w:csb1="00000000"/>
  </w:font>
  <w:font w:name="Symbol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2" w:rsidRDefault="007F3AD2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A83A4A" w:rsidRDefault="00A83A4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39147" wp14:editId="30793B6B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="003C5BA4">
      <w:rPr>
        <w:color w:val="003892"/>
      </w:rPr>
      <w:t xml:space="preserve"> </w:t>
    </w:r>
    <w:r w:rsidR="003C5BA4">
      <w:t>Anna Potapowicz, Krzysztof Tkaczyk</w:t>
    </w:r>
  </w:p>
  <w:p w:rsidR="00A83A4A" w:rsidRDefault="00A83A4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93D8E" wp14:editId="4FEB4794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</w:p>
  <w:p w:rsidR="00A83A4A" w:rsidRDefault="00491D3A" w:rsidP="004545DD">
    <w:pPr>
      <w:pStyle w:val="Stopka"/>
      <w:ind w:left="-1417"/>
      <w:jc w:val="right"/>
    </w:pPr>
    <w:r>
      <w:rPr>
        <w:noProof/>
        <w:lang w:eastAsia="ja-JP"/>
      </w:rPr>
      <w:drawing>
        <wp:inline distT="0" distB="0" distL="0" distR="0" wp14:anchorId="1025CE30" wp14:editId="1563BD9D">
          <wp:extent cx="6436317" cy="2381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723" cy="23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3A4A" w:rsidRDefault="00A83A4A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91D3A">
      <w:rPr>
        <w:noProof/>
      </w:rPr>
      <w:t>5</w:t>
    </w:r>
    <w:r>
      <w:fldChar w:fldCharType="end"/>
    </w:r>
  </w:p>
  <w:p w:rsidR="00A83A4A" w:rsidRPr="00285D6F" w:rsidRDefault="00A83A4A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E2" w:rsidRDefault="000045E2" w:rsidP="00285D6F">
      <w:pPr>
        <w:spacing w:after="0" w:line="240" w:lineRule="auto"/>
      </w:pPr>
      <w:r>
        <w:separator/>
      </w:r>
    </w:p>
  </w:footnote>
  <w:footnote w:type="continuationSeparator" w:id="0">
    <w:p w:rsidR="000045E2" w:rsidRDefault="000045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4A" w:rsidRDefault="00A83A4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4E2CD980" wp14:editId="29A0F0E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A4A" w:rsidRDefault="00A83A4A" w:rsidP="00435B7E">
    <w:pPr>
      <w:pStyle w:val="Nagwek"/>
      <w:tabs>
        <w:tab w:val="clear" w:pos="9072"/>
      </w:tabs>
      <w:ind w:left="142" w:right="142"/>
    </w:pPr>
  </w:p>
  <w:p w:rsidR="00A83A4A" w:rsidRDefault="00A83A4A" w:rsidP="00435B7E">
    <w:pPr>
      <w:pStyle w:val="Nagwek"/>
      <w:tabs>
        <w:tab w:val="clear" w:pos="9072"/>
      </w:tabs>
      <w:ind w:left="142" w:right="142"/>
    </w:pPr>
  </w:p>
  <w:p w:rsidR="00A83A4A" w:rsidRDefault="007F3AD2" w:rsidP="00B70C6A">
    <w:pPr>
      <w:pStyle w:val="Nagwek"/>
      <w:tabs>
        <w:tab w:val="clear" w:pos="9072"/>
      </w:tabs>
      <w:ind w:left="142" w:right="-283"/>
    </w:pPr>
    <w:r w:rsidRPr="007F3AD2">
      <w:rPr>
        <w:b/>
        <w:color w:val="F09120"/>
      </w:rPr>
      <w:t>Język</w:t>
    </w:r>
    <w:r w:rsidR="003C5BA4">
      <w:rPr>
        <w:b/>
        <w:color w:val="F09120"/>
      </w:rPr>
      <w:t xml:space="preserve"> </w:t>
    </w:r>
    <w:r w:rsidRPr="007F3AD2">
      <w:rPr>
        <w:b/>
        <w:color w:val="F09120"/>
      </w:rPr>
      <w:t>niemiecki</w:t>
    </w:r>
    <w:r w:rsidR="00A83A4A">
      <w:t>|</w:t>
    </w:r>
    <w:r w:rsidR="003C5BA4">
      <w:t xml:space="preserve"> </w:t>
    </w:r>
    <w:r w:rsidR="00A40C13" w:rsidRPr="00A40C13">
      <w:t>aha!</w:t>
    </w:r>
    <w:r w:rsidR="003C5BA4">
      <w:t xml:space="preserve"> </w:t>
    </w:r>
    <w:proofErr w:type="spellStart"/>
    <w:r w:rsidR="00A40C13" w:rsidRPr="00A40C13">
      <w:t>Neu</w:t>
    </w:r>
    <w:proofErr w:type="spellEnd"/>
    <w:r w:rsidR="003C5BA4">
      <w:t xml:space="preserve"> </w:t>
    </w:r>
    <w:r w:rsidR="00A83A4A">
      <w:t>|</w:t>
    </w:r>
    <w:r w:rsidR="003C5BA4">
      <w:t xml:space="preserve"> Klasa 8 | PSO</w:t>
    </w:r>
    <w:r w:rsidR="003C5BA4">
      <w:tab/>
    </w:r>
    <w:r w:rsidR="003C5BA4">
      <w:tab/>
    </w:r>
    <w:r>
      <w:tab/>
    </w:r>
    <w:r w:rsidR="003C5BA4">
      <w:t xml:space="preserve"> </w:t>
    </w:r>
    <w:r>
      <w:tab/>
    </w:r>
    <w:r w:rsidR="003C5BA4">
      <w:t xml:space="preserve"> </w:t>
    </w:r>
    <w:r w:rsidR="00491D3A">
      <w:tab/>
    </w:r>
    <w:r w:rsidR="00491D3A">
      <w:tab/>
    </w:r>
    <w:r w:rsidR="003C5BA4">
      <w:t xml:space="preserve"> </w:t>
    </w:r>
    <w:r w:rsidR="00491D3A">
      <w:rPr>
        <w:i/>
      </w:rPr>
      <w:t>Szkoła podstawowa</w:t>
    </w:r>
  </w:p>
  <w:p w:rsidR="00A83A4A" w:rsidRDefault="00A83A4A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45E2"/>
    <w:rsid w:val="000223C1"/>
    <w:rsid w:val="001462E0"/>
    <w:rsid w:val="00245DA5"/>
    <w:rsid w:val="00285D6F"/>
    <w:rsid w:val="002F1910"/>
    <w:rsid w:val="00317434"/>
    <w:rsid w:val="003572A4"/>
    <w:rsid w:val="003B56FB"/>
    <w:rsid w:val="003C5BA4"/>
    <w:rsid w:val="00435B7E"/>
    <w:rsid w:val="004545DD"/>
    <w:rsid w:val="00491D3A"/>
    <w:rsid w:val="004F3F07"/>
    <w:rsid w:val="00602ABB"/>
    <w:rsid w:val="00672759"/>
    <w:rsid w:val="006B5810"/>
    <w:rsid w:val="006B7499"/>
    <w:rsid w:val="007B3CB5"/>
    <w:rsid w:val="007F3AD2"/>
    <w:rsid w:val="00804E2A"/>
    <w:rsid w:val="008648E0"/>
    <w:rsid w:val="008C2636"/>
    <w:rsid w:val="00983221"/>
    <w:rsid w:val="009E0F62"/>
    <w:rsid w:val="00A40C13"/>
    <w:rsid w:val="00A5798A"/>
    <w:rsid w:val="00A83A4A"/>
    <w:rsid w:val="00AA3ACA"/>
    <w:rsid w:val="00B70C6A"/>
    <w:rsid w:val="00D10C22"/>
    <w:rsid w:val="00D17D7F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17D7F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17D7F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D17D7F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customStyle="1" w:styleId="bold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3C5BA4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3C5BA4"/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17D7F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17D7F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D17D7F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customStyle="1" w:styleId="bold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3C5BA4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3C5BA4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2EE-040C-469A-A3C2-D2DF2A7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Sebastian Ostalak</cp:lastModifiedBy>
  <cp:revision>3</cp:revision>
  <dcterms:created xsi:type="dcterms:W3CDTF">2018-03-13T08:38:00Z</dcterms:created>
  <dcterms:modified xsi:type="dcterms:W3CDTF">2018-03-13T10:16:00Z</dcterms:modified>
</cp:coreProperties>
</file>